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076B42" w:rsidRPr="00076B42">
        <w:t>R4-2102388</w:t>
      </w:r>
    </w:p>
    <w:p w:rsidR="00675C27" w:rsidRPr="00444A16" w:rsidRDefault="00F21B8F" w:rsidP="00F71A33">
      <w:pPr>
        <w:pStyle w:val="a1"/>
        <w:rPr>
          <w:rFonts w:eastAsia="宋体"/>
          <w:lang w:eastAsia="zh-CN"/>
        </w:rPr>
      </w:pPr>
      <w:r w:rsidRPr="00E422AE">
        <w:rPr>
          <w:rFonts w:eastAsia="宋体"/>
          <w:lang w:eastAsia="zh-CN"/>
        </w:rPr>
        <w:t>Electronic Meeting, Jan. 25-Feb. 5,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2" w:name="OLE_LINK24"/>
      <w:bookmarkStart w:id="3" w:name="OLE_LINK25"/>
      <w:r w:rsidR="00F21B8F" w:rsidRPr="00F21B8F">
        <w:rPr>
          <w:rFonts w:ascii="Arial" w:hAnsi="Arial" w:cs="Arial"/>
          <w:sz w:val="22"/>
        </w:rPr>
        <w:t xml:space="preserve">On </w:t>
      </w:r>
      <w:r w:rsidR="00975E55" w:rsidRPr="00975E55">
        <w:rPr>
          <w:rFonts w:ascii="Arial" w:hAnsi="Arial" w:cs="Arial"/>
          <w:sz w:val="22"/>
        </w:rPr>
        <w:t>BCS reporting and support for intra-band EN-DC band combinations</w:t>
      </w:r>
      <w:bookmarkEnd w:id="2"/>
      <w:bookmarkEnd w:id="3"/>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76B42">
        <w:rPr>
          <w:rFonts w:ascii="Arial" w:hAnsi="Arial" w:cs="Arial"/>
          <w:sz w:val="22"/>
        </w:rPr>
        <w:t>15.2</w:t>
      </w:r>
      <w:bookmarkStart w:id="4" w:name="_GoBack"/>
      <w:bookmarkEnd w:id="4"/>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4016EA" w:rsidP="009A089A">
      <w:r>
        <w:rPr>
          <w:rFonts w:eastAsia="Times New Roman"/>
        </w:rPr>
        <w:t>LS on BCS reporting and support for intra-band EN-DC band combinations with action points to RAN2 and RAN4 was sent out in RAN#90e [1]</w:t>
      </w:r>
      <w:r w:rsidR="005369EE">
        <w:t xml:space="preserve">. </w:t>
      </w:r>
      <w:r>
        <w:t xml:space="preserve">Some clarifications are tasked to RAN4 for the understanding of intra-band EN-DC for example band configurations. </w:t>
      </w:r>
    </w:p>
    <w:p w:rsidR="004016EA" w:rsidRDefault="004016EA" w:rsidP="009A089A">
      <w:r>
        <w:t>This contribution provides our consideration on the supported BCS for the configurations exemplified in the LS.</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4016EA" w:rsidP="005369EE">
      <w:pPr>
        <w:rPr>
          <w:lang w:val="en-US" w:eastAsia="en-US"/>
        </w:rPr>
      </w:pPr>
      <w:r>
        <w:rPr>
          <w:lang w:val="en-US" w:eastAsia="en-US"/>
        </w:rPr>
        <w:t>The cases to be clarified in RAN4 are:</w:t>
      </w:r>
    </w:p>
    <w:p w:rsidR="004016EA" w:rsidRPr="004016EA" w:rsidRDefault="004016EA" w:rsidP="004016EA">
      <w:pPr>
        <w:pStyle w:val="ListParagraph"/>
        <w:widowControl/>
        <w:numPr>
          <w:ilvl w:val="0"/>
          <w:numId w:val="44"/>
        </w:numPr>
        <w:spacing w:line="288" w:lineRule="auto"/>
        <w:ind w:firstLineChars="0"/>
        <w:contextualSpacing/>
        <w:jc w:val="left"/>
        <w:rPr>
          <w:rFonts w:ascii="Arial" w:hAnsi="Arial" w:cs="Arial"/>
          <w:i/>
          <w:color w:val="000000" w:themeColor="text1"/>
          <w:sz w:val="20"/>
        </w:rPr>
      </w:pPr>
      <w:r w:rsidRPr="004016EA">
        <w:rPr>
          <w:rFonts w:ascii="Arial" w:hAnsi="Arial" w:cs="Arial"/>
          <w:i/>
          <w:color w:val="000000" w:themeColor="text1"/>
          <w:sz w:val="20"/>
        </w:rPr>
        <w:t xml:space="preserve">A) Clarify if higher order (i.e. those band combinations which the UE indicates support for explicitly in UE capability </w:t>
      </w:r>
      <w:proofErr w:type="spellStart"/>
      <w:r w:rsidRPr="004016EA">
        <w:rPr>
          <w:rFonts w:ascii="Arial" w:hAnsi="Arial" w:cs="Arial"/>
          <w:i/>
          <w:color w:val="000000" w:themeColor="text1"/>
          <w:sz w:val="20"/>
        </w:rPr>
        <w:t>signalling</w:t>
      </w:r>
      <w:proofErr w:type="spellEnd"/>
      <w:r w:rsidRPr="004016EA">
        <w:rPr>
          <w:rFonts w:ascii="Arial" w:hAnsi="Arial" w:cs="Arial"/>
          <w:i/>
          <w:color w:val="000000" w:themeColor="text1"/>
          <w:sz w:val="20"/>
        </w:rPr>
        <w:t xml:space="preserve">)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 </w:t>
      </w:r>
    </w:p>
    <w:p w:rsidR="004016EA" w:rsidRPr="004016EA" w:rsidRDefault="004016EA" w:rsidP="004016EA">
      <w:pPr>
        <w:pStyle w:val="ListParagraph"/>
        <w:widowControl/>
        <w:numPr>
          <w:ilvl w:val="0"/>
          <w:numId w:val="44"/>
        </w:numPr>
        <w:spacing w:line="288" w:lineRule="auto"/>
        <w:ind w:firstLineChars="0"/>
        <w:contextualSpacing/>
        <w:jc w:val="left"/>
        <w:rPr>
          <w:rFonts w:ascii="Arial" w:hAnsi="Arial" w:cs="Arial"/>
          <w:i/>
          <w:color w:val="000000" w:themeColor="text1"/>
          <w:sz w:val="20"/>
        </w:rPr>
      </w:pPr>
      <w:r w:rsidRPr="004016EA">
        <w:rPr>
          <w:rFonts w:ascii="Arial" w:hAnsi="Arial" w:cs="Arial"/>
          <w:i/>
          <w:color w:val="000000" w:themeColor="text1"/>
          <w:sz w:val="20"/>
        </w:rPr>
        <w:t xml:space="preserve">B) Resolve the general question of classification of intra-band EN-DC band combinations according to UL support. If the UE doesn't support UL on intra-band EN-DC part of a band combination, is band combination classified as "intra-band EN-DC band combination"? </w:t>
      </w:r>
    </w:p>
    <w:p w:rsidR="004016EA" w:rsidRPr="004016EA" w:rsidRDefault="004016EA" w:rsidP="004016EA">
      <w:pPr>
        <w:pStyle w:val="ListParagraph"/>
        <w:widowControl/>
        <w:numPr>
          <w:ilvl w:val="0"/>
          <w:numId w:val="44"/>
        </w:numPr>
        <w:spacing w:line="288" w:lineRule="auto"/>
        <w:ind w:firstLineChars="0"/>
        <w:contextualSpacing/>
        <w:jc w:val="left"/>
        <w:rPr>
          <w:rFonts w:ascii="Arial" w:hAnsi="Arial" w:cs="Arial"/>
          <w:i/>
          <w:color w:val="000000" w:themeColor="text1"/>
          <w:sz w:val="20"/>
        </w:rPr>
      </w:pPr>
      <w:r w:rsidRPr="004016EA">
        <w:rPr>
          <w:rFonts w:ascii="Arial" w:hAnsi="Arial" w:cs="Arial"/>
          <w:i/>
          <w:color w:val="000000" w:themeColor="text1"/>
          <w:sz w:val="20"/>
        </w:rPr>
        <w:t>C) Indicate the RAN4 understanding on A) and B) to RAN2 by the end of the first meeting week of RAN4#98e (to allow RAN2 to finalize their work).</w:t>
      </w:r>
    </w:p>
    <w:p w:rsidR="004016EA" w:rsidRPr="004016EA" w:rsidRDefault="004016EA" w:rsidP="004016EA">
      <w:pPr>
        <w:pStyle w:val="ListParagraph"/>
        <w:widowControl/>
        <w:numPr>
          <w:ilvl w:val="0"/>
          <w:numId w:val="44"/>
        </w:numPr>
        <w:spacing w:line="288" w:lineRule="auto"/>
        <w:ind w:firstLineChars="0"/>
        <w:contextualSpacing/>
        <w:jc w:val="left"/>
        <w:rPr>
          <w:rFonts w:ascii="Arial" w:hAnsi="Arial" w:cs="Arial"/>
          <w:color w:val="000000" w:themeColor="text1"/>
          <w:sz w:val="20"/>
        </w:rPr>
      </w:pPr>
      <w:r w:rsidRPr="004016EA">
        <w:rPr>
          <w:rFonts w:ascii="Arial" w:hAnsi="Arial" w:cs="Arial"/>
          <w:i/>
          <w:color w:val="000000" w:themeColor="text1"/>
          <w:sz w:val="20"/>
        </w:rPr>
        <w:t>D) Agree (if necessary) CRs taking the conclusions of A) and B) into account.</w:t>
      </w:r>
    </w:p>
    <w:p w:rsidR="004016EA" w:rsidRDefault="004016EA" w:rsidP="004016EA">
      <w:pPr>
        <w:spacing w:before="120"/>
        <w:rPr>
          <w:lang w:val="x-none" w:eastAsia="en-US"/>
        </w:rPr>
      </w:pPr>
      <w:r>
        <w:rPr>
          <w:lang w:val="x-none" w:eastAsia="en-US"/>
        </w:rPr>
        <w:t xml:space="preserve">For EN-DC configurations of </w:t>
      </w:r>
      <w:r w:rsidRPr="004016EA">
        <w:rPr>
          <w:lang w:val="x-none" w:eastAsia="en-US"/>
        </w:rPr>
        <w:t>DC_2A-7A-7A-66A-n66A and DC_2A-71A_n71A</w:t>
      </w:r>
      <w:r>
        <w:rPr>
          <w:lang w:val="x-none" w:eastAsia="en-US"/>
        </w:rPr>
        <w:t xml:space="preserve">, </w:t>
      </w:r>
      <w:r w:rsidRPr="004016EA">
        <w:rPr>
          <w:lang w:val="x-none" w:eastAsia="en-US"/>
        </w:rPr>
        <w:t>if the UE doesn’t support the intra-band UL configurations DC_66A_n66A or DC_71A_n71A respectively</w:t>
      </w:r>
      <w:r>
        <w:rPr>
          <w:lang w:val="x-none" w:eastAsia="en-US"/>
        </w:rPr>
        <w:t>, in our view intra-band EN-DC does not supported for the bands without UL configuration. Then the problem is what’s the BCS will be assumed for the network if DL on these bands are still supported. The relevant description in RAN4 specification are cited as below:</w:t>
      </w:r>
    </w:p>
    <w:tbl>
      <w:tblPr>
        <w:tblStyle w:val="TableGrid"/>
        <w:tblW w:w="0" w:type="auto"/>
        <w:tblLook w:val="04A0" w:firstRow="1" w:lastRow="0" w:firstColumn="1" w:lastColumn="0" w:noHBand="0" w:noVBand="1"/>
      </w:tblPr>
      <w:tblGrid>
        <w:gridCol w:w="9631"/>
      </w:tblGrid>
      <w:tr w:rsidR="004016EA" w:rsidTr="004016EA">
        <w:tc>
          <w:tcPr>
            <w:tcW w:w="9631" w:type="dxa"/>
          </w:tcPr>
          <w:p w:rsidR="004016EA" w:rsidRPr="00E062F1" w:rsidRDefault="004016EA" w:rsidP="004016EA">
            <w:pPr>
              <w:rPr>
                <w:rFonts w:eastAsia="MS Mincho"/>
              </w:rPr>
            </w:pPr>
            <w:r w:rsidRPr="00E062F1">
              <w:rPr>
                <w:rFonts w:eastAsia="MS Mincho"/>
              </w:rPr>
              <w:t>A terminal which supports an EN-DC configuration shall support:</w:t>
            </w:r>
          </w:p>
          <w:p w:rsidR="004016EA" w:rsidRPr="00E062F1" w:rsidRDefault="004016EA" w:rsidP="004016EA">
            <w:pPr>
              <w:pStyle w:val="B10"/>
            </w:pPr>
            <w:r>
              <w:tab/>
            </w:r>
            <w:r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4016EA" w:rsidRPr="004016EA" w:rsidRDefault="004016EA" w:rsidP="004016EA">
            <w:pPr>
              <w:rPr>
                <w:rFonts w:eastAsia="MS Mincho"/>
              </w:rPr>
            </w:pPr>
            <w:r w:rsidRPr="004016EA">
              <w:rPr>
                <w:highlight w:val="yellow"/>
              </w:rPr>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4016EA">
              <w:rPr>
                <w:highlight w:val="yellow"/>
              </w:rPr>
              <w:t>singnals</w:t>
            </w:r>
            <w:proofErr w:type="spellEnd"/>
            <w:r w:rsidRPr="004016EA">
              <w:rPr>
                <w:highlight w:val="yellow"/>
              </w:rPr>
              <w:t xml:space="preserve"> the support</w:t>
            </w:r>
            <w:r w:rsidRPr="00E062F1">
              <w:t>.</w:t>
            </w:r>
            <w:r>
              <w:t xml:space="preserve"> </w:t>
            </w:r>
            <w:r w:rsidRPr="00E062F1">
              <w:rPr>
                <w:rFonts w:eastAsia="MS Mincho"/>
              </w:rPr>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E062F1">
              <w:rPr>
                <w:rFonts w:eastAsia="MS Mincho"/>
              </w:rPr>
              <w:t>fallbacks</w:t>
            </w:r>
            <w:proofErr w:type="spellEnd"/>
            <w:r w:rsidRPr="00E062F1">
              <w:rPr>
                <w:rFonts w:eastAsia="MS Mincho"/>
              </w:rPr>
              <w:t xml:space="preserve"> of this UL configuration.</w:t>
            </w:r>
          </w:p>
        </w:tc>
      </w:tr>
    </w:tbl>
    <w:p w:rsidR="004016EA" w:rsidRDefault="00DE5B05" w:rsidP="004016EA">
      <w:pPr>
        <w:spacing w:before="120"/>
        <w:rPr>
          <w:lang w:val="x-none" w:eastAsia="en-US"/>
        </w:rPr>
      </w:pPr>
      <w:r>
        <w:rPr>
          <w:lang w:eastAsia="en-US"/>
        </w:rPr>
        <w:lastRenderedPageBreak/>
        <w:t xml:space="preserve">If the common understating in RAN4 for A) and B) is that </w:t>
      </w:r>
      <w:r>
        <w:rPr>
          <w:lang w:val="x-none" w:eastAsia="en-US"/>
        </w:rPr>
        <w:t xml:space="preserve">the bands without UL configuration inside a band combination is not considered as intra-band EN-DC, then there is no product set of CBW to be considered. The BCS for these bands used for DL operation can be decided by </w:t>
      </w:r>
      <w:r w:rsidRPr="00DE5B05">
        <w:rPr>
          <w:lang w:val="x-none" w:eastAsia="en-US"/>
        </w:rPr>
        <w:t>channel bandwidth for each band specified by E-</w:t>
      </w:r>
      <w:r>
        <w:rPr>
          <w:lang w:val="x-none" w:eastAsia="en-US"/>
        </w:rPr>
        <w:t>UTRA bandwidth combination sets and</w:t>
      </w:r>
      <w:r w:rsidRPr="00DE5B05">
        <w:rPr>
          <w:lang w:val="x-none" w:eastAsia="en-US"/>
        </w:rPr>
        <w:t xml:space="preserve"> NR bandwidth combination sets</w:t>
      </w:r>
      <w:r>
        <w:rPr>
          <w:lang w:val="x-none" w:eastAsia="en-US"/>
        </w:rPr>
        <w:t xml:space="preserve">. It is worth noting that these BCS information are available by existing signaling and there is no need to introduce new signaling. </w:t>
      </w:r>
    </w:p>
    <w:p w:rsidR="00266376" w:rsidRDefault="0092570F" w:rsidP="004016EA">
      <w:pPr>
        <w:spacing w:before="120"/>
        <w:rPr>
          <w:b/>
          <w:i/>
          <w:lang w:val="x-none" w:eastAsia="en-US"/>
        </w:rPr>
      </w:pPr>
      <w:r>
        <w:rPr>
          <w:b/>
          <w:i/>
          <w:lang w:val="x-none" w:eastAsia="en-US"/>
        </w:rPr>
        <w:t>Proposal</w:t>
      </w:r>
      <w:r w:rsidR="00266376" w:rsidRPr="0092570F">
        <w:rPr>
          <w:b/>
          <w:i/>
          <w:lang w:val="x-none" w:eastAsia="en-US"/>
        </w:rPr>
        <w:t xml:space="preserve"> 1: </w:t>
      </w:r>
      <w:r>
        <w:rPr>
          <w:b/>
          <w:i/>
          <w:lang w:val="x-none" w:eastAsia="en-US"/>
        </w:rPr>
        <w:t>I</w:t>
      </w:r>
      <w:r w:rsidR="00266376" w:rsidRPr="0092570F">
        <w:rPr>
          <w:b/>
          <w:i/>
          <w:lang w:val="x-none" w:eastAsia="en-US"/>
        </w:rPr>
        <w:t xml:space="preserve">f the UE doesn’t support the intra-band UL configurations, e.g. DC_66A_n66A or DC_71A_n71A inside DC_2A-7A-7A-66A-n66A and DC_2A-71A_n71A respectively, </w:t>
      </w:r>
      <w:r w:rsidR="002F692C" w:rsidRPr="0092570F">
        <w:rPr>
          <w:b/>
          <w:i/>
          <w:lang w:val="x-none" w:eastAsia="en-US"/>
        </w:rPr>
        <w:t xml:space="preserve">then the </w:t>
      </w:r>
      <w:r w:rsidRPr="0092570F">
        <w:rPr>
          <w:b/>
          <w:i/>
          <w:lang w:val="x-none" w:eastAsia="en-US"/>
        </w:rPr>
        <w:t>intra-band configurations should not be considered as intra-band EN-DC.</w:t>
      </w:r>
    </w:p>
    <w:p w:rsidR="00803D9C" w:rsidRDefault="00803D9C" w:rsidP="00803D9C">
      <w:pPr>
        <w:spacing w:before="120"/>
        <w:rPr>
          <w:b/>
          <w:i/>
          <w:lang w:val="x-none" w:eastAsia="en-US"/>
        </w:rPr>
      </w:pPr>
      <w:r>
        <w:rPr>
          <w:b/>
          <w:i/>
          <w:lang w:val="x-none" w:eastAsia="en-US"/>
        </w:rPr>
        <w:t xml:space="preserve">Proposal 2: For intra-band configuration(s) not support intra-band EN-DC, the supported BCS or CBW are determined by available reported </w:t>
      </w:r>
      <w:r w:rsidRPr="0092570F">
        <w:rPr>
          <w:b/>
          <w:i/>
          <w:lang w:val="x-none" w:eastAsia="en-US"/>
        </w:rPr>
        <w:t>E-UTRA bandwidth combination sets</w:t>
      </w:r>
      <w:r>
        <w:rPr>
          <w:b/>
          <w:i/>
          <w:lang w:val="x-none" w:eastAsia="en-US"/>
        </w:rPr>
        <w:t>/CBW and NR bandwidth combination sets/CBW for the inter-band EN-DC configuration.</w:t>
      </w:r>
    </w:p>
    <w:p w:rsidR="0066126C" w:rsidRPr="0066126C" w:rsidRDefault="0066126C" w:rsidP="0066126C">
      <w:pPr>
        <w:pStyle w:val="TAL"/>
        <w:rPr>
          <w:bCs/>
          <w:iCs/>
        </w:rPr>
      </w:pPr>
      <w:r w:rsidRPr="0066126C">
        <w:rPr>
          <w:rFonts w:ascii="Times New Roman" w:hAnsi="Times New Roman"/>
          <w:sz w:val="20"/>
          <w:lang w:val="x-none" w:eastAsia="en-US"/>
        </w:rPr>
        <w:t>The controversial part for the RAN2 signaling</w:t>
      </w:r>
      <w:r>
        <w:rPr>
          <w:rFonts w:ascii="Times New Roman" w:hAnsi="Times New Roman"/>
          <w:sz w:val="20"/>
          <w:lang w:val="x-none" w:eastAsia="en-US"/>
        </w:rPr>
        <w:t xml:space="preserve"> in previous discussion </w:t>
      </w:r>
      <w:r w:rsidRPr="0066126C">
        <w:rPr>
          <w:rFonts w:ascii="Times New Roman" w:hAnsi="Times New Roman"/>
          <w:sz w:val="20"/>
          <w:lang w:val="x-none" w:eastAsia="en-US"/>
        </w:rPr>
        <w:t xml:space="preserve">is about </w:t>
      </w:r>
      <w:proofErr w:type="spellStart"/>
      <w:r w:rsidRPr="0066126C">
        <w:rPr>
          <w:rFonts w:ascii="Times New Roman" w:hAnsi="Times New Roman"/>
          <w:b/>
          <w:bCs/>
          <w:i/>
          <w:iCs/>
          <w:sz w:val="16"/>
        </w:rPr>
        <w:t>supportedBandwidthCombinationSetIntraENDC</w:t>
      </w:r>
      <w:proofErr w:type="spellEnd"/>
      <w:r w:rsidRPr="0066126C">
        <w:rPr>
          <w:rFonts w:ascii="Times New Roman" w:hAnsi="Times New Roman"/>
          <w:sz w:val="16"/>
          <w:lang w:val="x-none" w:eastAsia="en-US"/>
        </w:rPr>
        <w:t>.</w:t>
      </w:r>
      <w:r w:rsidRPr="0066126C">
        <w:rPr>
          <w:b/>
          <w:bCs/>
          <w:i/>
          <w:iCs/>
          <w:sz w:val="14"/>
        </w:rPr>
        <w:t xml:space="preserve"> </w:t>
      </w:r>
    </w:p>
    <w:p w:rsidR="0066126C" w:rsidRPr="0066126C" w:rsidRDefault="0066126C" w:rsidP="0066126C">
      <w:pPr>
        <w:pStyle w:val="TAL"/>
        <w:rPr>
          <w:b/>
          <w:bCs/>
          <w:i/>
          <w:iCs/>
        </w:rPr>
      </w:pPr>
    </w:p>
    <w:tbl>
      <w:tblPr>
        <w:tblW w:w="9356" w:type="dxa"/>
        <w:tblInd w:w="13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56"/>
      </w:tblGrid>
      <w:tr w:rsidR="0066126C" w:rsidRPr="00F11278" w:rsidTr="00693AAD">
        <w:trPr>
          <w:cantSplit/>
          <w:tblHeader/>
        </w:trPr>
        <w:tc>
          <w:tcPr>
            <w:tcW w:w="9356" w:type="dxa"/>
          </w:tcPr>
          <w:p w:rsidR="0066126C" w:rsidRPr="00F11278" w:rsidRDefault="0066126C" w:rsidP="00693AAD">
            <w:pPr>
              <w:pStyle w:val="TAL"/>
              <w:rPr>
                <w:b/>
                <w:bCs/>
                <w:i/>
                <w:iCs/>
              </w:rPr>
            </w:pPr>
            <w:proofErr w:type="spellStart"/>
            <w:r w:rsidRPr="00F11278">
              <w:rPr>
                <w:b/>
                <w:bCs/>
                <w:i/>
                <w:iCs/>
              </w:rPr>
              <w:t>supportedBandwidthCombinationSetIntraENDC</w:t>
            </w:r>
            <w:proofErr w:type="spellEnd"/>
          </w:p>
          <w:p w:rsidR="0066126C" w:rsidRPr="00F11278" w:rsidRDefault="0066126C" w:rsidP="00693AAD">
            <w:pPr>
              <w:pStyle w:val="TAL"/>
              <w:rPr>
                <w:b/>
                <w:bCs/>
                <w:i/>
                <w:iCs/>
              </w:rPr>
            </w:pPr>
            <w:r w:rsidRPr="00F11278">
              <w:rPr>
                <w:lang w:eastAsia="en-GB"/>
              </w:rPr>
              <w:t xml:space="preserve">Defines the supported bandwidth combination for the band combination set as defined in the TS 38.101-3 [4]. </w:t>
            </w:r>
            <w:r w:rsidRPr="00F11278">
              <w:rPr>
                <w:szCs w:val="22"/>
              </w:rPr>
              <w:t xml:space="preserve">For </w:t>
            </w:r>
            <w:r w:rsidRPr="00F86CFC">
              <w:rPr>
                <w:szCs w:val="22"/>
                <w:highlight w:val="green"/>
              </w:rPr>
              <w:t>intra-band (NG</w:t>
            </w:r>
            <w:proofErr w:type="gramStart"/>
            <w:r w:rsidRPr="00F86CFC">
              <w:rPr>
                <w:szCs w:val="22"/>
                <w:highlight w:val="green"/>
              </w:rPr>
              <w:t>)EN</w:t>
            </w:r>
            <w:proofErr w:type="gramEnd"/>
            <w:r w:rsidRPr="00F86CFC">
              <w:rPr>
                <w:szCs w:val="22"/>
                <w:highlight w:val="green"/>
              </w:rPr>
              <w:t xml:space="preserve">-DC with </w:t>
            </w:r>
            <w:r w:rsidRPr="00F86CFC">
              <w:rPr>
                <w:highlight w:val="green"/>
              </w:rPr>
              <w:t>additional inter-band CA component(s) of LTE and/or NR</w:t>
            </w:r>
            <w:r w:rsidRPr="00F11278">
              <w:rPr>
                <w:szCs w:val="22"/>
              </w:rPr>
              <w:t xml:space="preserve">, the field defines the bandwidth combinations for the </w:t>
            </w:r>
            <w:r w:rsidRPr="00F11278">
              <w:t xml:space="preserve">intra-band </w:t>
            </w:r>
            <w:r w:rsidRPr="00F11278">
              <w:rPr>
                <w:szCs w:val="22"/>
              </w:rPr>
              <w:t>(NG)</w:t>
            </w:r>
            <w:r w:rsidRPr="00F11278">
              <w:t>EN-DC component</w:t>
            </w:r>
            <w:r w:rsidRPr="00F11278">
              <w:rPr>
                <w:szCs w:val="22"/>
              </w:rPr>
              <w:t xml:space="preserve">. For </w:t>
            </w:r>
            <w:r w:rsidRPr="00F86CFC">
              <w:rPr>
                <w:szCs w:val="22"/>
                <w:highlight w:val="green"/>
              </w:rPr>
              <w:t xml:space="preserve">intra-band NE-DC with </w:t>
            </w:r>
            <w:r w:rsidRPr="00F86CFC">
              <w:rPr>
                <w:highlight w:val="green"/>
              </w:rPr>
              <w:t>additional inter-band CA component(s) of LTE and/or NR</w:t>
            </w:r>
            <w:r w:rsidRPr="00F11278">
              <w:rPr>
                <w:szCs w:val="22"/>
              </w:rPr>
              <w:t xml:space="preserve">, the field defines the bandwidth combinations for the </w:t>
            </w:r>
            <w:r w:rsidRPr="00F11278">
              <w:t xml:space="preserve">intra-band </w:t>
            </w:r>
            <w:r w:rsidRPr="00F11278">
              <w:rPr>
                <w:szCs w:val="22"/>
              </w:rPr>
              <w:t>NE</w:t>
            </w:r>
            <w:r w:rsidRPr="00F11278">
              <w:t>-DC component</w:t>
            </w:r>
            <w:r w:rsidRPr="00F11278">
              <w:rPr>
                <w:szCs w:val="22"/>
              </w:rPr>
              <w:t xml:space="preserve">. </w:t>
            </w:r>
            <w:r w:rsidRPr="00F1127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11278">
              <w:t xml:space="preserve"> intra-band </w:t>
            </w:r>
            <w:r w:rsidRPr="00F11278">
              <w:rPr>
                <w:szCs w:val="22"/>
              </w:rPr>
              <w:t>(NG</w:t>
            </w:r>
            <w:proofErr w:type="gramStart"/>
            <w:r w:rsidRPr="00F11278">
              <w:rPr>
                <w:szCs w:val="22"/>
              </w:rPr>
              <w:t>)</w:t>
            </w:r>
            <w:r w:rsidRPr="00F11278">
              <w:t>EN</w:t>
            </w:r>
            <w:proofErr w:type="gramEnd"/>
            <w:r w:rsidRPr="00F11278">
              <w:t>-DC/</w:t>
            </w:r>
            <w:r w:rsidRPr="00F11278">
              <w:rPr>
                <w:szCs w:val="22"/>
              </w:rPr>
              <w:t>NE-DC</w:t>
            </w:r>
            <w:r w:rsidRPr="00F11278">
              <w:t xml:space="preserve"> </w:t>
            </w:r>
            <w:r w:rsidRPr="00F11278">
              <w:rPr>
                <w:lang w:eastAsia="en-GB"/>
              </w:rPr>
              <w:t>combination</w:t>
            </w:r>
            <w:r w:rsidRPr="00F11278">
              <w:t xml:space="preserve"> with additional inter-band NR/LTE CA component</w:t>
            </w:r>
            <w:r w:rsidRPr="00F11278">
              <w:rPr>
                <w:lang w:eastAsia="en-GB"/>
              </w:rPr>
              <w:t>.</w:t>
            </w:r>
          </w:p>
        </w:tc>
      </w:tr>
    </w:tbl>
    <w:p w:rsidR="004016EA" w:rsidRPr="004016EA" w:rsidRDefault="0066126C" w:rsidP="004016EA">
      <w:pPr>
        <w:spacing w:before="120"/>
        <w:rPr>
          <w:lang w:val="x-none" w:eastAsia="en-US"/>
        </w:rPr>
      </w:pPr>
      <w:r>
        <w:rPr>
          <w:lang w:val="x-none" w:eastAsia="en-US"/>
        </w:rPr>
        <w:t xml:space="preserve">The assumption in RAN2 is intra-band EN-DC is supported in addition to inter-band combination. If </w:t>
      </w:r>
      <w:r w:rsidRPr="0066126C">
        <w:rPr>
          <w:lang w:val="x-none" w:eastAsia="en-US"/>
        </w:rPr>
        <w:t>classification of intra-band EN-DC band combinations according to UL support</w:t>
      </w:r>
      <w:r>
        <w:rPr>
          <w:lang w:val="x-none" w:eastAsia="en-US"/>
        </w:rPr>
        <w:t xml:space="preserve"> is addressed in RAN4 as discussed above, there would be no ambiguity to report the existing RAN2 signaling, in other words, there is no need to clarify or make changes in RAN2 specification. </w:t>
      </w:r>
    </w:p>
    <w:p w:rsidR="00803D9C" w:rsidRPr="0092570F" w:rsidRDefault="00803D9C" w:rsidP="00803D9C">
      <w:pPr>
        <w:spacing w:before="120"/>
        <w:rPr>
          <w:b/>
          <w:i/>
          <w:lang w:eastAsia="en-US"/>
        </w:rPr>
      </w:pPr>
      <w:r>
        <w:rPr>
          <w:b/>
          <w:i/>
          <w:lang w:val="x-none" w:eastAsia="en-US"/>
        </w:rPr>
        <w:t>Proposal 3: Clarification on support of intra-band EN-DC and BCS for intra-configurations which not support EN-DC shall be made in RAN4 specification.</w:t>
      </w:r>
    </w:p>
    <w:p w:rsidR="0092570F" w:rsidRDefault="0092570F" w:rsidP="0092570F">
      <w:pPr>
        <w:spacing w:before="120"/>
        <w:rPr>
          <w:b/>
          <w:i/>
          <w:lang w:val="x-none" w:eastAsia="en-US"/>
        </w:rPr>
      </w:pPr>
      <w:r>
        <w:rPr>
          <w:b/>
          <w:i/>
          <w:lang w:val="x-none" w:eastAsia="en-US"/>
        </w:rPr>
        <w:t>Proposal</w:t>
      </w:r>
      <w:r w:rsidRPr="0092570F">
        <w:rPr>
          <w:b/>
          <w:i/>
          <w:lang w:val="x-none" w:eastAsia="en-US"/>
        </w:rPr>
        <w:t xml:space="preserve"> </w:t>
      </w:r>
      <w:r>
        <w:rPr>
          <w:b/>
          <w:i/>
          <w:lang w:val="x-none" w:eastAsia="en-US"/>
        </w:rPr>
        <w:t>4</w:t>
      </w:r>
      <w:r w:rsidRPr="0092570F">
        <w:rPr>
          <w:b/>
          <w:i/>
          <w:lang w:val="x-none" w:eastAsia="en-US"/>
        </w:rPr>
        <w:t>:</w:t>
      </w:r>
      <w:r>
        <w:rPr>
          <w:b/>
          <w:i/>
          <w:lang w:val="x-none" w:eastAsia="en-US"/>
        </w:rPr>
        <w:t xml:space="preserve"> LS with clarification on case A) and B) based on proposal 1 and proposal 2 shall be sent to RAN2</w:t>
      </w:r>
      <w:r w:rsidRPr="0092570F">
        <w:rPr>
          <w:b/>
          <w:i/>
          <w:lang w:val="x-none" w:eastAsia="en-US"/>
        </w:rPr>
        <w:t>.</w:t>
      </w:r>
      <w:r>
        <w:rPr>
          <w:b/>
          <w:i/>
          <w:lang w:val="x-none" w:eastAsia="en-US"/>
        </w:rPr>
        <w:t xml:space="preserve"> If clarification is made in RAN4 spec, there is no need to make changes in RAN2 specification. </w:t>
      </w:r>
    </w:p>
    <w:p w:rsidR="00A33E8E" w:rsidRDefault="00A33E8E" w:rsidP="00A33E8E">
      <w:pPr>
        <w:pStyle w:val="Heading1"/>
        <w:spacing w:after="240"/>
        <w:rPr>
          <w:rFonts w:eastAsia="宋体"/>
          <w:lang w:eastAsia="zh-CN"/>
        </w:rPr>
      </w:pPr>
      <w:r>
        <w:rPr>
          <w:rFonts w:eastAsia="宋体" w:hint="eastAsia"/>
          <w:lang w:eastAsia="zh-CN"/>
        </w:rPr>
        <w:t>Conclusion</w:t>
      </w:r>
    </w:p>
    <w:p w:rsidR="0092570F" w:rsidRPr="0092570F" w:rsidRDefault="0092570F" w:rsidP="005369EE">
      <w:pPr>
        <w:rPr>
          <w:lang w:val="en-US" w:eastAsia="en-US"/>
        </w:rPr>
      </w:pPr>
      <w:r w:rsidRPr="0092570F">
        <w:rPr>
          <w:lang w:val="en-US" w:eastAsia="en-US"/>
        </w:rPr>
        <w:t>Consideration on BCS reporting and support for intra-band EN-DC band combinations has been provided in this contribution. For the cases described in the RAN LS, we have the following proposals.</w:t>
      </w:r>
    </w:p>
    <w:p w:rsidR="0092570F" w:rsidRDefault="0092570F" w:rsidP="0092570F">
      <w:pPr>
        <w:spacing w:before="120"/>
        <w:rPr>
          <w:b/>
          <w:i/>
          <w:lang w:val="x-none" w:eastAsia="en-US"/>
        </w:rPr>
      </w:pPr>
      <w:r>
        <w:rPr>
          <w:b/>
          <w:i/>
          <w:lang w:val="x-none" w:eastAsia="en-US"/>
        </w:rPr>
        <w:t>Proposal</w:t>
      </w:r>
      <w:r w:rsidRPr="0092570F">
        <w:rPr>
          <w:b/>
          <w:i/>
          <w:lang w:val="x-none" w:eastAsia="en-US"/>
        </w:rPr>
        <w:t xml:space="preserve"> 1: </w:t>
      </w:r>
      <w:r>
        <w:rPr>
          <w:b/>
          <w:i/>
          <w:lang w:val="x-none" w:eastAsia="en-US"/>
        </w:rPr>
        <w:t>I</w:t>
      </w:r>
      <w:r w:rsidRPr="0092570F">
        <w:rPr>
          <w:b/>
          <w:i/>
          <w:lang w:val="x-none" w:eastAsia="en-US"/>
        </w:rPr>
        <w:t>f the UE doesn’t support the intra-band UL configurations, e.g. DC_66A_n66A or DC_71A_n71A inside DC_2A-7A-7A-66A-n66A and DC_2A-71A_n71A respectively, then the intra-band configurations should not be considered as intra-band EN-DC.</w:t>
      </w:r>
    </w:p>
    <w:p w:rsidR="0092570F" w:rsidRDefault="0092570F" w:rsidP="0092570F">
      <w:pPr>
        <w:spacing w:before="120"/>
        <w:rPr>
          <w:b/>
          <w:i/>
          <w:lang w:val="x-none" w:eastAsia="en-US"/>
        </w:rPr>
      </w:pPr>
      <w:r>
        <w:rPr>
          <w:b/>
          <w:i/>
          <w:lang w:val="x-none" w:eastAsia="en-US"/>
        </w:rPr>
        <w:t xml:space="preserve">Proposal 2: For intra-band configuration(s) not support intra-band EN-DC, the supported BCS or CBW are determined by </w:t>
      </w:r>
      <w:r w:rsidR="00803D9C">
        <w:rPr>
          <w:b/>
          <w:i/>
          <w:lang w:val="x-none" w:eastAsia="en-US"/>
        </w:rPr>
        <w:t xml:space="preserve">available reported </w:t>
      </w:r>
      <w:r w:rsidRPr="0092570F">
        <w:rPr>
          <w:b/>
          <w:i/>
          <w:lang w:val="x-none" w:eastAsia="en-US"/>
        </w:rPr>
        <w:t>E-UTRA bandwidth combination sets</w:t>
      </w:r>
      <w:r>
        <w:rPr>
          <w:b/>
          <w:i/>
          <w:lang w:val="x-none" w:eastAsia="en-US"/>
        </w:rPr>
        <w:t>/CBW and NR bandwidth combination sets/CBW</w:t>
      </w:r>
      <w:r w:rsidR="00803D9C">
        <w:rPr>
          <w:b/>
          <w:i/>
          <w:lang w:val="x-none" w:eastAsia="en-US"/>
        </w:rPr>
        <w:t xml:space="preserve"> for the inter-band EN-DC configuration.</w:t>
      </w:r>
    </w:p>
    <w:p w:rsidR="0092570F" w:rsidRPr="0092570F" w:rsidRDefault="0092570F" w:rsidP="0092570F">
      <w:pPr>
        <w:spacing w:before="120"/>
        <w:rPr>
          <w:b/>
          <w:i/>
          <w:lang w:eastAsia="en-US"/>
        </w:rPr>
      </w:pPr>
      <w:r>
        <w:rPr>
          <w:b/>
          <w:i/>
          <w:lang w:val="x-none" w:eastAsia="en-US"/>
        </w:rPr>
        <w:t>Proposal 3: Clarification on support of intra-band EN-DC and BCS for intra-configurations which not s</w:t>
      </w:r>
      <w:r w:rsidR="00803D9C">
        <w:rPr>
          <w:b/>
          <w:i/>
          <w:lang w:val="x-none" w:eastAsia="en-US"/>
        </w:rPr>
        <w:t>upport EN-DC shall</w:t>
      </w:r>
      <w:r>
        <w:rPr>
          <w:b/>
          <w:i/>
          <w:lang w:val="x-none" w:eastAsia="en-US"/>
        </w:rPr>
        <w:t xml:space="preserve"> be made in RAN4 specification.</w:t>
      </w:r>
    </w:p>
    <w:p w:rsidR="0092570F" w:rsidRDefault="0092570F" w:rsidP="0092570F">
      <w:pPr>
        <w:spacing w:before="120"/>
        <w:rPr>
          <w:b/>
          <w:i/>
          <w:lang w:val="x-none" w:eastAsia="en-US"/>
        </w:rPr>
      </w:pPr>
      <w:r>
        <w:rPr>
          <w:b/>
          <w:i/>
          <w:lang w:val="x-none" w:eastAsia="en-US"/>
        </w:rPr>
        <w:t>Proposal</w:t>
      </w:r>
      <w:r w:rsidRPr="0092570F">
        <w:rPr>
          <w:b/>
          <w:i/>
          <w:lang w:val="x-none" w:eastAsia="en-US"/>
        </w:rPr>
        <w:t xml:space="preserve"> </w:t>
      </w:r>
      <w:r>
        <w:rPr>
          <w:b/>
          <w:i/>
          <w:lang w:val="x-none" w:eastAsia="en-US"/>
        </w:rPr>
        <w:t>4</w:t>
      </w:r>
      <w:r w:rsidRPr="0092570F">
        <w:rPr>
          <w:b/>
          <w:i/>
          <w:lang w:val="x-none" w:eastAsia="en-US"/>
        </w:rPr>
        <w:t>:</w:t>
      </w:r>
      <w:r>
        <w:rPr>
          <w:b/>
          <w:i/>
          <w:lang w:val="x-none" w:eastAsia="en-US"/>
        </w:rPr>
        <w:t xml:space="preserve"> LS with clarification on case A) and B) based on proposal 1 and proposal 2 shall be sent to RAN2</w:t>
      </w:r>
      <w:r w:rsidRPr="0092570F">
        <w:rPr>
          <w:b/>
          <w:i/>
          <w:lang w:val="x-none" w:eastAsia="en-US"/>
        </w:rPr>
        <w:t>.</w:t>
      </w:r>
      <w:r>
        <w:rPr>
          <w:b/>
          <w:i/>
          <w:lang w:val="x-none" w:eastAsia="en-US"/>
        </w:rPr>
        <w:t xml:space="preserve"> If clarification is made in RAN4 spec, there is no need to make changes in RAN2 specification. </w:t>
      </w:r>
    </w:p>
    <w:p w:rsidR="00B22DA6" w:rsidRDefault="00B22DA6" w:rsidP="00B22DA6">
      <w:pPr>
        <w:pStyle w:val="Heading1"/>
        <w:numPr>
          <w:ilvl w:val="0"/>
          <w:numId w:val="0"/>
        </w:numPr>
        <w:rPr>
          <w:rFonts w:eastAsia="宋体"/>
          <w:lang w:eastAsia="zh-CN"/>
        </w:rPr>
      </w:pPr>
      <w:r>
        <w:lastRenderedPageBreak/>
        <w:t>References</w:t>
      </w:r>
    </w:p>
    <w:p w:rsidR="00C53757" w:rsidRDefault="0035262B" w:rsidP="00F71A33">
      <w:r>
        <w:rPr>
          <w:rFonts w:hint="eastAsia"/>
        </w:rPr>
        <w:t>[1]</w:t>
      </w:r>
      <w:r w:rsidR="005369EE">
        <w:t xml:space="preserve"> </w:t>
      </w:r>
      <w:r w:rsidR="00975E55" w:rsidRPr="00456F69">
        <w:t>RP-202935</w:t>
      </w:r>
      <w:r w:rsidR="00975E55">
        <w:t xml:space="preserve">, </w:t>
      </w:r>
      <w:r w:rsidR="00975E55" w:rsidRPr="00456F69">
        <w:t>LS on BCS reporting and support for intra-band EN-DC band combinations</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8FC" w:rsidRDefault="006058FC" w:rsidP="0052762B">
      <w:r>
        <w:separator/>
      </w:r>
    </w:p>
  </w:endnote>
  <w:endnote w:type="continuationSeparator" w:id="0">
    <w:p w:rsidR="006058FC" w:rsidRDefault="006058F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8FC" w:rsidRDefault="006058FC" w:rsidP="0052762B">
      <w:r>
        <w:separator/>
      </w:r>
    </w:p>
  </w:footnote>
  <w:footnote w:type="continuationSeparator" w:id="0">
    <w:p w:rsidR="006058FC" w:rsidRDefault="006058F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267440"/>
    <w:multiLevelType w:val="multilevel"/>
    <w:tmpl w:val="33BC184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8"/>
  </w:num>
  <w:num w:numId="5">
    <w:abstractNumId w:val="1"/>
  </w:num>
  <w:num w:numId="6">
    <w:abstractNumId w:val="37"/>
  </w:num>
  <w:num w:numId="7">
    <w:abstractNumId w:val="18"/>
  </w:num>
  <w:num w:numId="8">
    <w:abstractNumId w:val="31"/>
  </w:num>
  <w:num w:numId="9">
    <w:abstractNumId w:val="40"/>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5"/>
  </w:num>
  <w:num w:numId="23">
    <w:abstractNumId w:val="23"/>
  </w:num>
  <w:num w:numId="24">
    <w:abstractNumId w:val="36"/>
  </w:num>
  <w:num w:numId="25">
    <w:abstractNumId w:val="9"/>
  </w:num>
  <w:num w:numId="26">
    <w:abstractNumId w:val="35"/>
  </w:num>
  <w:num w:numId="27">
    <w:abstractNumId w:val="34"/>
  </w:num>
  <w:num w:numId="28">
    <w:abstractNumId w:val="19"/>
  </w:num>
  <w:num w:numId="29">
    <w:abstractNumId w:val="39"/>
  </w:num>
  <w:num w:numId="30">
    <w:abstractNumId w:val="28"/>
  </w:num>
  <w:num w:numId="31">
    <w:abstractNumId w:val="17"/>
  </w:num>
  <w:num w:numId="32">
    <w:abstractNumId w:val="32"/>
  </w:num>
  <w:num w:numId="33">
    <w:abstractNumId w:val="6"/>
  </w:num>
  <w:num w:numId="34">
    <w:abstractNumId w:val="10"/>
  </w:num>
  <w:num w:numId="35">
    <w:abstractNumId w:val="33"/>
  </w:num>
  <w:num w:numId="36">
    <w:abstractNumId w:val="20"/>
  </w:num>
  <w:num w:numId="37">
    <w:abstractNumId w:val="7"/>
  </w:num>
  <w:num w:numId="38">
    <w:abstractNumId w:val="30"/>
  </w:num>
  <w:num w:numId="39">
    <w:abstractNumId w:val="3"/>
  </w:num>
  <w:num w:numId="40">
    <w:abstractNumId w:val="25"/>
  </w:num>
  <w:num w:numId="41">
    <w:abstractNumId w:val="16"/>
  </w:num>
  <w:num w:numId="42">
    <w:abstractNumId w:val="14"/>
  </w:num>
  <w:num w:numId="43">
    <w:abstractNumId w:val="29"/>
  </w:num>
  <w:num w:numId="4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B42"/>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376"/>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92C"/>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EA"/>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8FC"/>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26C"/>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9C"/>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70F"/>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5E55"/>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5F6"/>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B05"/>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F1D96-6A19-4EF1-BBBA-86DC71DE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319</TotalTime>
  <Pages>3</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2021-01-15T01:07:00Z</dcterms:created>
  <dcterms:modified xsi:type="dcterms:W3CDTF">2021-01-15T17:20:00Z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(3)GoDZjscHAlqFxbt0bWsSsIN69Dj9m8sIxsQApS2mRQYFj4epoPEWexbMfWNFV0JUnaPq9rGW
QXtgfbnKrgQ0EjeacuBeSCE1rP8Y2PMwFwOgW5bHdVyYd0n06CPESsfwwdGfFswd5D5fak+5
YgL1fexMSjKgPWa3shHXTCCI6SWgddAhmhXU21yqyCBaA9QYrwBY59/5ninZ6gQEKNcmLIwR
lTKPh1gu8zLVTdFNzR</vt:lpwstr>
  </property>
  <property fmtid="{D5CDD505-2E9C-101B-9397-08002B2CF9AE}" pid="15" name="_2015_ms_pID_725343_00">
    <vt:lpwstr>_2015_ms_pID_725343</vt:lpwstr>
  </property>
  <property fmtid="{D5CDD505-2E9C-101B-9397-08002B2CF9AE}" pid="16" name="_2015_ms_pID_7253431">
    <vt:lpwstr>yvs+daI/YhCsuU7nHT5Fck7HBDn3Cnm7B46X97kWlHxpp0Apq8+fAA
fd2veRLTWSo3INHHVdYt73Vhz91LyMu1AqUobIK5vJU2hHv00ga1vJB3AIyuRIfiFGMIOxg6
7JcJ/0POvS5CH1hDteAPZSrgVYAHQwwkDxpC76yDXcm0hEGUq07qDSfJ/SCAnwdzuLYJ56sH
30MDQLvDF6AODL5+GoiUFIrHCZoxODoR8/p8</vt:lpwstr>
  </property>
  <property fmtid="{D5CDD505-2E9C-101B-9397-08002B2CF9AE}" pid="17" name="_2015_ms_pID_7253431_00">
    <vt:lpwstr>_2015_ms_pID_7253431</vt:lpwstr>
  </property>
  <property fmtid="{D5CDD505-2E9C-101B-9397-08002B2CF9AE}" pid="18" name="_2015_ms_pID_7253432">
    <vt:lpwstr>YVdKIS4fGU8l7IVDCZh6nis=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